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A07F3">
        <w:rPr>
          <w:rFonts w:ascii="Verdana" w:eastAsia="Times New Roman" w:hAnsi="Verdana" w:cs="Frutiger-BoldCn"/>
          <w:b/>
          <w:bCs/>
          <w:lang w:eastAsia="pt-BR"/>
        </w:rPr>
        <w:t>Resolução SE - 47, de 12-7-2011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CC68EE">
      <w:pPr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LightItalic"/>
          <w:i/>
          <w:iCs/>
          <w:sz w:val="20"/>
          <w:szCs w:val="20"/>
          <w:lang w:eastAsia="pt-BR"/>
        </w:rPr>
        <w:t>Dispõe sobre a regulamentação do Programa Rede de Ensino Médio Técnico – REDE, instituído pelo Decreto nº 57.121, de 11 de julho de 2011, e dá providências correlata</w:t>
      </w:r>
      <w:r w:rsidR="00CC68EE">
        <w:rPr>
          <w:rFonts w:ascii="Verdana" w:eastAsia="Times New Roman" w:hAnsi="Verdana" w:cs="Frutiger-LightItalic"/>
          <w:i/>
          <w:iCs/>
          <w:sz w:val="20"/>
          <w:szCs w:val="20"/>
          <w:lang w:eastAsia="pt-BR"/>
        </w:rPr>
        <w:t>s.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O Secretário da Educação, com fundamento no disposto no artigo 6º do Decreto nº 57.121, de 11 de julho de 2011, à vista do que lhe representou a Coordenadoria de Estudos e Normas </w:t>
      </w:r>
      <w:proofErr w:type="gramStart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Pedagógicas, observado</w:t>
      </w:r>
      <w:proofErr w:type="gramEnd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 o disposto na Seção IV-A, acrescentada ao Capítulo II, do Título V, da Lei de Diretrizes e Bases da Educação Nacional, pela Lei nº 11.741, de 16.7.2008, e considerando: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- a importância de se assegurar aos alunos, no ensino médio, oportunidade de formação técnica que lhes propicie melhores condições de ingresso no mundo do trabalho;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- a parceria com instituições públicas ou privadas de educação profissional técnica de nível médio, que ofereçam aos alunos das escolas da rede estadual de ensino propostas curriculares em consonância com o projeto pedagógico dessas escolas;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- o compromisso da gestão educacional de promover a expansão do ensino médio de melhor qualidade, resolve: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1º - Fica assegurado ao aluno, concluinte do ensino fundamental, o direito de cursar o ensino médio de forma articulada com a educação profissional técnica de nível médio, nos termos estabelecidos pelo artigo 36-B da Lei federal nº 9.394, de 20.12.96, e em conformidade com a presente resolução.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Parágrafo único – o ensino médio articulado, previsto no caput deste artigo, poderá ser oferecido de forma integrada a quem já tenha concluído o ensino fundamental, efetuando-se matrícula única para cada aluno, ou, concomitante, a quem ingresse no ensino médio ou já o esteja cursando, efetuando-se, neste caso, matrículas distintas para cada curso.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2º - o ensino médio articulado à educação profissional técnica de nível médio será desenvolvido, de forma integrada, em escolas da rede pública estadual e federal, ou, de forma concomitante, em instituições de ensino públicas e privadas, conforme previsto nas alíneas “a”, “b” e “c”, do inciso II, do artigo 36-C, da Lei nº 9.394/96.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3º - o ensino médio articulado à educação profissional técnica de nível médio, de forma integrada, será realizado mediante parceria da Secretaria da Educação com o Instituto Federal de Educação, Ciência e Tecnologia de São Paulo e com o Centro Estadual de Educação Tecnológica Paula Souza.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§ 1º - na organização curricular do ensino médio integrado, caberá à rede estadual de ensino assegurar todas as condições necessárias ao desenvolvimento da formação geral do educando e, ao Centro Estadual de Educação Tecnológica Paula Souza e ao Instituto Federal de Educação, Ciência e Tecnologia, ao desenvolvimento da formação técnica.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§ 2º - a Secretaria da Educação, de comum acordo com o Centro Estadual de Educação Tecnológica Paula Souza e o Instituto Federal de Educação, Ciência e Tecnologia de São Paulo, selecionará as escolas nas quais serão constituídas </w:t>
      </w:r>
      <w:proofErr w:type="gramStart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2</w:t>
      </w:r>
      <w:proofErr w:type="gramEnd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 (duas) turmas de estudantes para o curso de ensino médio integrado.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4º - a oferta de ensino médio articulado, na forma integrada, à educação profissional técnica de nível médio dar-se-á com observância dos seguintes procedimentos: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lastRenderedPageBreak/>
        <w:t>I – divulgação ampla aos alunos dos cursos técnicos de nível médio que serão oferecidos;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II – garantia aos alunos matriculados no ensino médio da escola selecionada da opção pela forma de ensino médio integrado;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III – no caso da demanda pelo ensino médio integrado ser superior ao número de vagas, haverá um processo de seleção, a ser definido em instrução conjunta expedida pelas instituições parceiras;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IV – constituição de </w:t>
      </w:r>
      <w:proofErr w:type="gramStart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2</w:t>
      </w:r>
      <w:proofErr w:type="gramEnd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 (duas) turmas com 30 (trinta) alunos, no mínimo, e 40 (quarenta), no máximo, em cada uma das escolas selecionadas;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V – matrícula única do aluno;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VI – sistema de avaliação comum aos dois blocos de componentes curriculares, de formação geral e de formação técnica;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VII – emissão de Diploma de Técnico de Nível Médio, em conjunto pelas escolas parceiras em que o aluno estudou, com direito ao prosseguimento de estudos no nível superior e habilitação profissional técnica de nível médio, em conformidade com o disposto no caput do artigo 36-D, da Lei federal nº 9.394/96.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5º - o ensino médio articulado à educação profissional de nível médio, na forma concomitante, poderá ser desenvolvido, conforme dispõe o inciso II, do artigo 36-C, da Lei federal nº 9.394/96, em instituições públicas e privadas de educação profissional técnica, credenciadas para esse fim, mediante Chamada Pública, realizada pela Secretaria da Educação, observada a Lei federal nº 8.666, de 21.6.93, bem como os termos do edital de credenciamento publicado pela Pasta.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Parágrafo único – Os alunos interessados no curso de ensino médio concomitante à educação profissional técnica de nível médio, serão selecionados de acordo com os critérios estabelecidos no edital de que trata o caput deste artigo.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6º - o acesso ao ensino médio concomitante à educação profissional técnica de nível médio será facultado ao aluno regularmente matriculado na 2ª série do ensino médio ou em curso presencial de Educação de Jovens e Adultos – EJA, da rede pública estadual, em qualquer das instituições credenciadas situadas nos municípios indicados no Anexo, que integra esta resolução.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§ 1º - Faculta-se ao aluno a opção por habilitação profissional de seu interesse, bem como pela instituição de educação técnica credenciada;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§ 2º - o aluno que optar pelo ensino médio, nos termos do caput deste artigo, terá duas matrículas, uma para cada curso, e fará jus ao certificado de conclusão do ensino médio e ao diploma de técnico de nível médio;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§ 3º - o aluno que abandonar o ensino médio na rede estadual perderá automaticamente o direito à gratuidade do curso técnico oferecido pela Rede;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§ 4º - a manutenção da gratuidade dependerá do cumprimento, pelo aluno, de requisitos de desempenho escolar estabelecidos em normas expedidas pela Secretaria da Educação, observado o prazo previsto para a conclusão do ensino técnico.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7º - o jovem interessado em candidatar-se a um dos cursos técnicos oferecidos pela REDE deverá efetuar sua inscrição em formulário próprio que estará disponível no site da Secretaria da Educação (www.educa</w:t>
      </w:r>
      <w:proofErr w:type="spellStart"/>
      <w:proofErr w:type="gramStart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ção</w:t>
      </w:r>
      <w:proofErr w:type="spellEnd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.</w:t>
      </w:r>
      <w:proofErr w:type="spellStart"/>
      <w:proofErr w:type="gramEnd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sp</w:t>
      </w:r>
      <w:proofErr w:type="spellEnd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.gov.br), durante período que será definido no Edital de Credenciamento.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Parágrafo único – As vagas não preenchidas poderão ser remanejadas pela Secretaria da Educação para outro curso, instituição, localidade ou Diretoria de Ensino.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Artigo 8º - o ensino médio articulado à educação profissional técnica de nível médio, de que trata a presente resolução, seja de forma integrada ou concomitante, obedecerá às diretrizes curriculares nacionais estabelecidas pelo Conselho Nacional de Educação, às normas complementares consubstanciadas nas </w:t>
      </w: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lastRenderedPageBreak/>
        <w:t>deliberações do Conselho Estadual de Educação e aos projetos pedagógicos das instituições escolares envolvidas.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Artigo 9º - no processo de avaliação e seleção dos cursos que irão integrar o Catálogo de Cursos Técnicos, nos termos da Resolução CNE/CEB nº 3, de </w:t>
      </w:r>
      <w:proofErr w:type="gramStart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9</w:t>
      </w:r>
      <w:proofErr w:type="gramEnd"/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 xml:space="preserve"> de julho de 2008, oferecidos pela REDE, observar-se-á o seguinte: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I - adequação dos cursos propostos às vocações econômicas locais e regionais;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II – municípios paulistas com população igual ou superior 40.000 habitantes;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III – adequação à tabela de preços a ser publicada no edital de credenciamento;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IV – condição de realização de cada curso proposto; e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V – característica e qualidade pedagógica de cada curso oferecido.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10 - As instituições credenciadas poderão ser contratadas pela Fundação de Desenvolvimento da Educação – FDE, após a definição do número efetivo de matrículas em cada curso.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11 - o acompanhamento e a avaliação da execução dos cursos contratados serão realizados pelo Comitê Gestor da REDE com suporte da Secretaria da Educação.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12 - Os casos omissos serão resolvidos pelo Secretário da Educação, ouvida a Instituição de Ensino, quando for o caso.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13 - a Coordenadoria de Estudos e Normas Pedagógicas baixará as instruções que se fizerem necessárias ao cumprimento do disposto nesta resolução.</w:t>
      </w:r>
    </w:p>
    <w:p w:rsidR="00BA07F3" w:rsidRPr="00BA07F3" w:rsidRDefault="00BA07F3" w:rsidP="00BA07F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7F3" w:rsidRPr="00BA07F3" w:rsidRDefault="00BA07F3" w:rsidP="00BA07F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7F3">
        <w:rPr>
          <w:rFonts w:ascii="Verdana" w:eastAsia="Times New Roman" w:hAnsi="Verdana" w:cs="Frutiger-Cn"/>
          <w:sz w:val="20"/>
          <w:szCs w:val="20"/>
          <w:lang w:eastAsia="pt-BR"/>
        </w:rPr>
        <w:t>Artigo 14 - Esta resolução entra em vigor na data de sua publicação.</w:t>
      </w:r>
    </w:p>
    <w:p w:rsidR="00691EFC" w:rsidRDefault="00691EFC"/>
    <w:sectPr w:rsidR="00691EFC" w:rsidSect="00691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utiger-Bold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-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7F3"/>
    <w:rsid w:val="00261F5F"/>
    <w:rsid w:val="00691EFC"/>
    <w:rsid w:val="007C313D"/>
    <w:rsid w:val="00BA07F3"/>
    <w:rsid w:val="00CC68EE"/>
    <w:rsid w:val="00F8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FC"/>
  </w:style>
  <w:style w:type="paragraph" w:styleId="Ttulo3">
    <w:name w:val="heading 3"/>
    <w:basedOn w:val="Normal"/>
    <w:link w:val="Ttulo3Char"/>
    <w:uiPriority w:val="9"/>
    <w:qFormat/>
    <w:rsid w:val="00BA0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A07F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1273</Words>
  <Characters>6879</Characters>
  <Application>Microsoft Office Word</Application>
  <DocSecurity>0</DocSecurity>
  <Lines>57</Lines>
  <Paragraphs>16</Paragraphs>
  <ScaleCrop>false</ScaleCrop>
  <Company>SIEEESP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edsonpedagogico</cp:lastModifiedBy>
  <cp:revision>6</cp:revision>
  <cp:lastPrinted>2011-07-14T17:43:00Z</cp:lastPrinted>
  <dcterms:created xsi:type="dcterms:W3CDTF">2011-07-14T17:50:00Z</dcterms:created>
  <dcterms:modified xsi:type="dcterms:W3CDTF">2011-07-14T17:51:00Z</dcterms:modified>
</cp:coreProperties>
</file>