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r w:rsidRPr="00F552DC">
        <w:rPr>
          <w:rFonts w:ascii="Arial" w:eastAsia="Times New Roman" w:hAnsi="Arial" w:cs="Arial"/>
          <w:sz w:val="20"/>
          <w:szCs w:val="20"/>
          <w:lang w:eastAsia="pt-BR"/>
        </w:rPr>
        <w:t>DOU de 17/05/2012 (nº 95, Seção 1, pág. 14</w:t>
      </w:r>
      <w:proofErr w:type="gramStart"/>
      <w:r w:rsidRPr="00F552DC">
        <w:rPr>
          <w:rFonts w:ascii="Arial" w:eastAsia="Times New Roman" w:hAnsi="Arial" w:cs="Arial"/>
          <w:sz w:val="20"/>
          <w:szCs w:val="20"/>
          <w:lang w:eastAsia="pt-BR"/>
        </w:rPr>
        <w:t>)</w:t>
      </w:r>
      <w:proofErr w:type="gramEnd"/>
    </w:p>
    <w:p w:rsidR="00F552DC" w:rsidRPr="00F552DC" w:rsidRDefault="00F552DC" w:rsidP="00F552DC">
      <w:pPr>
        <w:spacing w:before="100" w:beforeAutospacing="1" w:after="100" w:afterAutospacing="1" w:line="240" w:lineRule="auto"/>
        <w:jc w:val="both"/>
        <w:outlineLvl w:val="0"/>
        <w:rPr>
          <w:rFonts w:ascii="Arial" w:eastAsia="Times New Roman" w:hAnsi="Arial" w:cs="Arial"/>
          <w:b/>
          <w:bCs/>
          <w:kern w:val="36"/>
          <w:sz w:val="20"/>
          <w:szCs w:val="20"/>
          <w:lang w:eastAsia="pt-BR"/>
        </w:rPr>
      </w:pPr>
      <w:r w:rsidRPr="00F552DC">
        <w:rPr>
          <w:rFonts w:ascii="Arial" w:eastAsia="Times New Roman" w:hAnsi="Arial" w:cs="Arial"/>
          <w:b/>
          <w:bCs/>
          <w:kern w:val="36"/>
          <w:sz w:val="20"/>
          <w:szCs w:val="20"/>
          <w:lang w:eastAsia="pt-BR"/>
        </w:rPr>
        <w:t xml:space="preserve">RESOLUÇÃO Nº 3, DE 16 DE MAIO DE </w:t>
      </w:r>
      <w:proofErr w:type="gramStart"/>
      <w:r w:rsidRPr="00F552DC">
        <w:rPr>
          <w:rFonts w:ascii="Arial" w:eastAsia="Times New Roman" w:hAnsi="Arial" w:cs="Arial"/>
          <w:b/>
          <w:bCs/>
          <w:kern w:val="36"/>
          <w:sz w:val="20"/>
          <w:szCs w:val="20"/>
          <w:lang w:eastAsia="pt-BR"/>
        </w:rPr>
        <w:t>2012</w:t>
      </w:r>
      <w:proofErr w:type="gramEnd"/>
    </w:p>
    <w:p w:rsidR="00F552DC" w:rsidRPr="00F552DC" w:rsidRDefault="00F552DC" w:rsidP="00F552DC">
      <w:pPr>
        <w:spacing w:before="100" w:beforeAutospacing="1" w:after="100" w:afterAutospacing="1" w:line="240" w:lineRule="auto"/>
        <w:ind w:left="3540"/>
        <w:jc w:val="both"/>
        <w:rPr>
          <w:rFonts w:ascii="Arial" w:eastAsia="Times New Roman" w:hAnsi="Arial" w:cs="Arial"/>
          <w:b/>
          <w:i/>
          <w:sz w:val="20"/>
          <w:szCs w:val="20"/>
          <w:lang w:eastAsia="pt-BR"/>
        </w:rPr>
      </w:pPr>
      <w:proofErr w:type="gramStart"/>
      <w:r w:rsidRPr="00F552DC">
        <w:rPr>
          <w:rFonts w:ascii="Arial" w:eastAsia="Times New Roman" w:hAnsi="Arial" w:cs="Arial"/>
          <w:b/>
          <w:i/>
          <w:sz w:val="20"/>
          <w:szCs w:val="20"/>
          <w:lang w:eastAsia="pt-BR"/>
        </w:rPr>
        <w:t>Define diretrizes</w:t>
      </w:r>
      <w:proofErr w:type="gramEnd"/>
      <w:r w:rsidRPr="00F552DC">
        <w:rPr>
          <w:rFonts w:ascii="Arial" w:eastAsia="Times New Roman" w:hAnsi="Arial" w:cs="Arial"/>
          <w:b/>
          <w:i/>
          <w:sz w:val="20"/>
          <w:szCs w:val="20"/>
          <w:lang w:eastAsia="pt-BR"/>
        </w:rPr>
        <w:t xml:space="preserve"> para o atendimento de educação escolar para populações em situação de </w:t>
      </w:r>
      <w:proofErr w:type="spellStart"/>
      <w:r w:rsidRPr="00F552DC">
        <w:rPr>
          <w:rFonts w:ascii="Arial" w:eastAsia="Times New Roman" w:hAnsi="Arial" w:cs="Arial"/>
          <w:b/>
          <w:i/>
          <w:sz w:val="20"/>
          <w:szCs w:val="20"/>
          <w:lang w:eastAsia="pt-BR"/>
        </w:rPr>
        <w:t>itinerância</w:t>
      </w:r>
      <w:proofErr w:type="spellEnd"/>
      <w:r w:rsidRPr="00F552DC">
        <w:rPr>
          <w:rFonts w:ascii="Arial" w:eastAsia="Times New Roman" w:hAnsi="Arial" w:cs="Arial"/>
          <w:b/>
          <w:i/>
          <w:sz w:val="20"/>
          <w:szCs w:val="20"/>
          <w:lang w:eastAsia="pt-BR"/>
        </w:rPr>
        <w:t>.</w:t>
      </w:r>
    </w:p>
    <w:p w:rsid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 xml:space="preserve">O Presidente da Câmara de Educação Básica do Conselho Nacional de Educação, no uso de suas atribuições legais, e de conformidade com o disposto na alínea "c" do § 1º do </w:t>
      </w:r>
      <w:hyperlink r:id="rId4" w:anchor="9" w:history="1">
        <w:r w:rsidRPr="00F552DC">
          <w:rPr>
            <w:rFonts w:ascii="Arial" w:eastAsia="Times New Roman" w:hAnsi="Arial" w:cs="Arial"/>
            <w:color w:val="0000FF"/>
            <w:sz w:val="20"/>
            <w:szCs w:val="20"/>
            <w:u w:val="single"/>
            <w:lang w:eastAsia="pt-BR"/>
          </w:rPr>
          <w:t>art. 9º da Lei nº 4.024/61</w:t>
        </w:r>
      </w:hyperlink>
      <w:r w:rsidRPr="00F552DC">
        <w:rPr>
          <w:rFonts w:ascii="Arial" w:eastAsia="Times New Roman" w:hAnsi="Arial" w:cs="Arial"/>
          <w:sz w:val="20"/>
          <w:szCs w:val="20"/>
          <w:lang w:eastAsia="pt-BR"/>
        </w:rPr>
        <w:t xml:space="preserve">, com a redação dada pela </w:t>
      </w:r>
      <w:hyperlink r:id="rId5" w:history="1">
        <w:r w:rsidRPr="00F552DC">
          <w:rPr>
            <w:rFonts w:ascii="Arial" w:eastAsia="Times New Roman" w:hAnsi="Arial" w:cs="Arial"/>
            <w:color w:val="0000FF"/>
            <w:sz w:val="20"/>
            <w:szCs w:val="20"/>
            <w:u w:val="single"/>
            <w:lang w:eastAsia="pt-BR"/>
          </w:rPr>
          <w:t>Lei nº 9.131/95</w:t>
        </w:r>
      </w:hyperlink>
      <w:r w:rsidRPr="00F552DC">
        <w:rPr>
          <w:rFonts w:ascii="Arial" w:eastAsia="Times New Roman" w:hAnsi="Arial" w:cs="Arial"/>
          <w:sz w:val="20"/>
          <w:szCs w:val="20"/>
          <w:lang w:eastAsia="pt-BR"/>
        </w:rPr>
        <w:t xml:space="preserve">, e com fundamento no </w:t>
      </w:r>
      <w:hyperlink r:id="rId6" w:history="1">
        <w:r w:rsidRPr="00F552DC">
          <w:rPr>
            <w:rFonts w:ascii="Arial" w:eastAsia="Times New Roman" w:hAnsi="Arial" w:cs="Arial"/>
            <w:color w:val="0000FF"/>
            <w:sz w:val="20"/>
            <w:szCs w:val="20"/>
            <w:u w:val="single"/>
            <w:lang w:eastAsia="pt-BR"/>
          </w:rPr>
          <w:t>Parecer CNE/CEB nº 14/2011</w:t>
        </w:r>
      </w:hyperlink>
      <w:r w:rsidRPr="00F552DC">
        <w:rPr>
          <w:rFonts w:ascii="Arial" w:eastAsia="Times New Roman" w:hAnsi="Arial" w:cs="Arial"/>
          <w:sz w:val="20"/>
          <w:szCs w:val="20"/>
          <w:lang w:eastAsia="pt-BR"/>
        </w:rPr>
        <w:t xml:space="preserve">, homologado por Despacho do Senhor Ministro de Estado da Educação, publicado no DOU de 10 de maio </w:t>
      </w:r>
      <w:r>
        <w:rPr>
          <w:rFonts w:ascii="Arial" w:eastAsia="Times New Roman" w:hAnsi="Arial" w:cs="Arial"/>
          <w:sz w:val="20"/>
          <w:szCs w:val="20"/>
          <w:lang w:eastAsia="pt-BR"/>
        </w:rPr>
        <w:t>de 2012,</w:t>
      </w:r>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Pr>
          <w:rFonts w:ascii="Arial" w:eastAsia="Times New Roman" w:hAnsi="Arial" w:cs="Arial"/>
          <w:sz w:val="20"/>
          <w:szCs w:val="20"/>
          <w:lang w:eastAsia="pt-BR"/>
        </w:rPr>
        <w:tab/>
        <w:t>C</w:t>
      </w:r>
      <w:r w:rsidRPr="00F552DC">
        <w:rPr>
          <w:rFonts w:ascii="Arial" w:eastAsia="Times New Roman" w:hAnsi="Arial" w:cs="Arial"/>
          <w:sz w:val="20"/>
          <w:szCs w:val="20"/>
          <w:lang w:eastAsia="pt-BR"/>
        </w:rPr>
        <w:t xml:space="preserve">onsiderando o que dispõe a </w:t>
      </w:r>
      <w:hyperlink r:id="rId7" w:history="1">
        <w:r w:rsidRPr="00F552DC">
          <w:rPr>
            <w:rFonts w:ascii="Arial" w:eastAsia="Times New Roman" w:hAnsi="Arial" w:cs="Arial"/>
            <w:color w:val="0000FF"/>
            <w:sz w:val="20"/>
            <w:szCs w:val="20"/>
            <w:u w:val="single"/>
            <w:lang w:eastAsia="pt-BR"/>
          </w:rPr>
          <w:t>Constituição Federal de 1988</w:t>
        </w:r>
      </w:hyperlink>
      <w:r w:rsidRPr="00F552DC">
        <w:rPr>
          <w:rFonts w:ascii="Arial" w:eastAsia="Times New Roman" w:hAnsi="Arial" w:cs="Arial"/>
          <w:sz w:val="20"/>
          <w:szCs w:val="20"/>
          <w:lang w:eastAsia="pt-BR"/>
        </w:rPr>
        <w:t>; a Lei de Diretrizes e Bases da Educação Nacional (</w:t>
      </w:r>
      <w:hyperlink r:id="rId8" w:history="1">
        <w:r w:rsidRPr="00F552DC">
          <w:rPr>
            <w:rFonts w:ascii="Arial" w:eastAsia="Times New Roman" w:hAnsi="Arial" w:cs="Arial"/>
            <w:color w:val="0000FF"/>
            <w:sz w:val="20"/>
            <w:szCs w:val="20"/>
            <w:u w:val="single"/>
            <w:lang w:eastAsia="pt-BR"/>
          </w:rPr>
          <w:t>Lei nº 9.394/96</w:t>
        </w:r>
      </w:hyperlink>
      <w:r w:rsidRPr="00F552DC">
        <w:rPr>
          <w:rFonts w:ascii="Arial" w:eastAsia="Times New Roman" w:hAnsi="Arial" w:cs="Arial"/>
          <w:sz w:val="20"/>
          <w:szCs w:val="20"/>
          <w:lang w:eastAsia="pt-BR"/>
        </w:rPr>
        <w:t>); o Plano Nacional de Direitos Humanos de 2006; o Estatuto da Criança e do Adolescente (</w:t>
      </w:r>
      <w:hyperlink r:id="rId9" w:history="1">
        <w:r w:rsidRPr="00F552DC">
          <w:rPr>
            <w:rFonts w:ascii="Arial" w:eastAsia="Times New Roman" w:hAnsi="Arial" w:cs="Arial"/>
            <w:color w:val="0000FF"/>
            <w:sz w:val="20"/>
            <w:szCs w:val="20"/>
            <w:u w:val="single"/>
            <w:lang w:eastAsia="pt-BR"/>
          </w:rPr>
          <w:t>Lei nº 8.069/90</w:t>
        </w:r>
      </w:hyperlink>
      <w:r w:rsidRPr="00F552DC">
        <w:rPr>
          <w:rFonts w:ascii="Arial" w:eastAsia="Times New Roman" w:hAnsi="Arial" w:cs="Arial"/>
          <w:sz w:val="20"/>
          <w:szCs w:val="20"/>
          <w:lang w:eastAsia="pt-BR"/>
        </w:rPr>
        <w:t xml:space="preserve">); a Convenção nº 169 da Organização Internacional do Trabalho sobre Povos Indígenas e Tribais, promulgada no Brasil, por meio do </w:t>
      </w:r>
      <w:hyperlink r:id="rId10" w:history="1">
        <w:r w:rsidRPr="00F552DC">
          <w:rPr>
            <w:rFonts w:ascii="Arial" w:eastAsia="Times New Roman" w:hAnsi="Arial" w:cs="Arial"/>
            <w:color w:val="0000FF"/>
            <w:sz w:val="20"/>
            <w:szCs w:val="20"/>
            <w:u w:val="single"/>
            <w:lang w:eastAsia="pt-BR"/>
          </w:rPr>
          <w:t>Decreto nº 5.051, de 19 de abril de 2004</w:t>
        </w:r>
      </w:hyperlink>
      <w:r w:rsidRPr="00F552DC">
        <w:rPr>
          <w:rFonts w:ascii="Arial" w:eastAsia="Times New Roman" w:hAnsi="Arial" w:cs="Arial"/>
          <w:sz w:val="20"/>
          <w:szCs w:val="20"/>
          <w:lang w:eastAsia="pt-BR"/>
        </w:rPr>
        <w:t>; o Código Civil Brasileiro (</w:t>
      </w:r>
      <w:hyperlink r:id="rId11" w:history="1">
        <w:r w:rsidRPr="00F552DC">
          <w:rPr>
            <w:rFonts w:ascii="Arial" w:eastAsia="Times New Roman" w:hAnsi="Arial" w:cs="Arial"/>
            <w:color w:val="0000FF"/>
            <w:sz w:val="20"/>
            <w:szCs w:val="20"/>
            <w:u w:val="single"/>
            <w:lang w:eastAsia="pt-BR"/>
          </w:rPr>
          <w:t>Lei nº 10.406/2002</w:t>
        </w:r>
      </w:hyperlink>
      <w:r w:rsidRPr="00F552DC">
        <w:rPr>
          <w:rFonts w:ascii="Arial" w:eastAsia="Times New Roman" w:hAnsi="Arial" w:cs="Arial"/>
          <w:sz w:val="20"/>
          <w:szCs w:val="20"/>
          <w:lang w:eastAsia="pt-BR"/>
        </w:rPr>
        <w:t xml:space="preserve">) e a Convenção sobre os Direitos da Criança, ratificada pelo Brasil por meio do </w:t>
      </w:r>
      <w:hyperlink r:id="rId12" w:history="1">
        <w:r w:rsidRPr="00F552DC">
          <w:rPr>
            <w:rFonts w:ascii="Arial" w:eastAsia="Times New Roman" w:hAnsi="Arial" w:cs="Arial"/>
            <w:color w:val="0000FF"/>
            <w:sz w:val="20"/>
            <w:szCs w:val="20"/>
            <w:u w:val="single"/>
            <w:lang w:eastAsia="pt-BR"/>
          </w:rPr>
          <w:t>Decreto nº 99.710, de 21 de novembro de 1990</w:t>
        </w:r>
      </w:hyperlink>
      <w:r w:rsidRPr="00F552DC">
        <w:rPr>
          <w:rFonts w:ascii="Arial" w:eastAsia="Times New Roman" w:hAnsi="Arial" w:cs="Arial"/>
          <w:sz w:val="20"/>
          <w:szCs w:val="20"/>
          <w:lang w:eastAsia="pt-BR"/>
        </w:rPr>
        <w:t>, resolve:</w:t>
      </w:r>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 xml:space="preserve">Art. 1º - As crianças, adolescentes e jovens em situação de </w:t>
      </w:r>
      <w:proofErr w:type="spellStart"/>
      <w:r w:rsidRPr="00F552DC">
        <w:rPr>
          <w:rFonts w:ascii="Arial" w:eastAsia="Times New Roman" w:hAnsi="Arial" w:cs="Arial"/>
          <w:sz w:val="20"/>
          <w:szCs w:val="20"/>
          <w:lang w:eastAsia="pt-BR"/>
        </w:rPr>
        <w:t>itinerância</w:t>
      </w:r>
      <w:proofErr w:type="spellEnd"/>
      <w:r w:rsidRPr="00F552DC">
        <w:rPr>
          <w:rFonts w:ascii="Arial" w:eastAsia="Times New Roman" w:hAnsi="Arial" w:cs="Arial"/>
          <w:sz w:val="20"/>
          <w:szCs w:val="20"/>
          <w:lang w:eastAsia="pt-BR"/>
        </w:rPr>
        <w:t xml:space="preserve"> deverão ter garantido o direito à matrícula em escola pública, gratuita, com qualidade social e que garanta a liberdade de consciência e de crença.</w:t>
      </w:r>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bookmarkStart w:id="0" w:name="1"/>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 xml:space="preserve">Parágrafo único - São </w:t>
      </w:r>
      <w:proofErr w:type="gramStart"/>
      <w:r w:rsidRPr="00F552DC">
        <w:rPr>
          <w:rFonts w:ascii="Arial" w:eastAsia="Times New Roman" w:hAnsi="Arial" w:cs="Arial"/>
          <w:sz w:val="20"/>
          <w:szCs w:val="20"/>
          <w:lang w:eastAsia="pt-BR"/>
        </w:rPr>
        <w:t xml:space="preserve">considerados crianças, adolescentes e jovens em situação de </w:t>
      </w:r>
      <w:proofErr w:type="spellStart"/>
      <w:r w:rsidRPr="00F552DC">
        <w:rPr>
          <w:rFonts w:ascii="Arial" w:eastAsia="Times New Roman" w:hAnsi="Arial" w:cs="Arial"/>
          <w:sz w:val="20"/>
          <w:szCs w:val="20"/>
          <w:lang w:eastAsia="pt-BR"/>
        </w:rPr>
        <w:t>itinerância</w:t>
      </w:r>
      <w:proofErr w:type="spellEnd"/>
      <w:r w:rsidRPr="00F552DC">
        <w:rPr>
          <w:rFonts w:ascii="Arial" w:eastAsia="Times New Roman" w:hAnsi="Arial" w:cs="Arial"/>
          <w:sz w:val="20"/>
          <w:szCs w:val="20"/>
          <w:lang w:eastAsia="pt-BR"/>
        </w:rPr>
        <w:t xml:space="preserve"> aquelas pertencentes a grupos sociais que vivem em tal condição por motivos culturais, políticos,</w:t>
      </w:r>
      <w:proofErr w:type="gramEnd"/>
      <w:r w:rsidRPr="00F552DC">
        <w:rPr>
          <w:rFonts w:ascii="Arial" w:eastAsia="Times New Roman" w:hAnsi="Arial" w:cs="Arial"/>
          <w:sz w:val="20"/>
          <w:szCs w:val="20"/>
          <w:lang w:eastAsia="pt-BR"/>
        </w:rPr>
        <w:t xml:space="preserve"> econômicos, de saúde, tais como ciganos, indígenas, povos nômades, trabalhadores itinerantes, acampados, circenses, artistas e/ou trabalhadores de parques de diversão, de teatro mambembe, dentre outros.</w:t>
      </w:r>
      <w:bookmarkEnd w:id="0"/>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bookmarkStart w:id="1" w:name="2"/>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 xml:space="preserve">Art. 2º - Visando à garantia dos direitos socioeducacionais de crianças, adolescentes e jovens em situação de </w:t>
      </w:r>
      <w:proofErr w:type="spellStart"/>
      <w:r w:rsidRPr="00F552DC">
        <w:rPr>
          <w:rFonts w:ascii="Arial" w:eastAsia="Times New Roman" w:hAnsi="Arial" w:cs="Arial"/>
          <w:sz w:val="20"/>
          <w:szCs w:val="20"/>
          <w:lang w:eastAsia="pt-BR"/>
        </w:rPr>
        <w:t>itinerância</w:t>
      </w:r>
      <w:proofErr w:type="spellEnd"/>
      <w:r w:rsidRPr="00F552DC">
        <w:rPr>
          <w:rFonts w:ascii="Arial" w:eastAsia="Times New Roman" w:hAnsi="Arial" w:cs="Arial"/>
          <w:sz w:val="20"/>
          <w:szCs w:val="20"/>
          <w:lang w:eastAsia="pt-BR"/>
        </w:rPr>
        <w:t xml:space="preserve"> os sistemas de ensino deverão adequar-se às particularidades desses estudantes.</w:t>
      </w:r>
      <w:bookmarkEnd w:id="1"/>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 xml:space="preserve">Art. 3º - Os sistemas de ensino, por meio de seus estabelecimentos públicos ou privados de Educação Básica deverão assegurar a matrícula de estudante em situação de </w:t>
      </w:r>
      <w:proofErr w:type="spellStart"/>
      <w:r w:rsidRPr="00F552DC">
        <w:rPr>
          <w:rFonts w:ascii="Arial" w:eastAsia="Times New Roman" w:hAnsi="Arial" w:cs="Arial"/>
          <w:sz w:val="20"/>
          <w:szCs w:val="20"/>
          <w:lang w:eastAsia="pt-BR"/>
        </w:rPr>
        <w:t>itinerância</w:t>
      </w:r>
      <w:proofErr w:type="spellEnd"/>
      <w:r w:rsidRPr="00F552DC">
        <w:rPr>
          <w:rFonts w:ascii="Arial" w:eastAsia="Times New Roman" w:hAnsi="Arial" w:cs="Arial"/>
          <w:sz w:val="20"/>
          <w:szCs w:val="20"/>
          <w:lang w:eastAsia="pt-BR"/>
        </w:rPr>
        <w:t xml:space="preserve"> sem a imposição de qualquer forma de embaraço, preconceito e/ou qualquer forma de discriminação, pois se trata de direito fundamental, mediante autodeclaração ou declaração do responsável.</w:t>
      </w:r>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 1º - No caso de matrícula de jovens e adultos, poderá ser usada a autodeclaração.</w:t>
      </w:r>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bookmarkStart w:id="2" w:name="3"/>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 xml:space="preserve">§ 2º - A instituição de educação que receber matrícula de estudante em situação de </w:t>
      </w:r>
      <w:proofErr w:type="spellStart"/>
      <w:r w:rsidRPr="00F552DC">
        <w:rPr>
          <w:rFonts w:ascii="Arial" w:eastAsia="Times New Roman" w:hAnsi="Arial" w:cs="Arial"/>
          <w:sz w:val="20"/>
          <w:szCs w:val="20"/>
          <w:lang w:eastAsia="pt-BR"/>
        </w:rPr>
        <w:t>itinerância</w:t>
      </w:r>
      <w:proofErr w:type="spellEnd"/>
      <w:r w:rsidRPr="00F552DC">
        <w:rPr>
          <w:rFonts w:ascii="Arial" w:eastAsia="Times New Roman" w:hAnsi="Arial" w:cs="Arial"/>
          <w:sz w:val="20"/>
          <w:szCs w:val="20"/>
          <w:lang w:eastAsia="pt-BR"/>
        </w:rPr>
        <w:t xml:space="preserve"> deverá comunicar o fato à Secretaria de Educação ou a seu órgão regional imediato.</w:t>
      </w:r>
      <w:bookmarkEnd w:id="2"/>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Art. 4º - Caso o estudante itinerante não disponha, no ato da matrícula, de certificado, memorial e/ou relatório da instituição de educação anterior, este deverá ser inserido no grupamento correspondente aos seus pares de idade, mediante diagnóstico de suas necessidades de aprendizagem, realizado pela instituição de ensino que o recebe.</w:t>
      </w:r>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 1º - A instituição de educação deverá desenvolver estratégias pedagógicas adequadas às suas necessidades de aprendizagem.</w:t>
      </w:r>
    </w:p>
    <w:p w:rsidR="00F552DC" w:rsidRPr="00F552DC" w:rsidRDefault="00F552DC" w:rsidP="00F552DC">
      <w:pPr>
        <w:spacing w:before="100" w:beforeAutospacing="1" w:after="100" w:afterAutospacing="1" w:line="240" w:lineRule="auto"/>
        <w:ind w:firstLine="708"/>
        <w:jc w:val="both"/>
        <w:rPr>
          <w:rFonts w:ascii="Arial" w:eastAsia="Times New Roman" w:hAnsi="Arial" w:cs="Arial"/>
          <w:sz w:val="20"/>
          <w:szCs w:val="20"/>
          <w:lang w:eastAsia="pt-BR"/>
        </w:rPr>
      </w:pPr>
      <w:r w:rsidRPr="00F552DC">
        <w:rPr>
          <w:rFonts w:ascii="Arial" w:eastAsia="Times New Roman" w:hAnsi="Arial" w:cs="Arial"/>
          <w:sz w:val="20"/>
          <w:szCs w:val="20"/>
          <w:lang w:eastAsia="pt-BR"/>
        </w:rPr>
        <w:t>§ 2º - A instituição de ensino deverá realizar avaliação diagnóstica do desenvolvimento e da aprendizagem desse estudante, mediante acompanhamento e supervisão adequados às suas necessidades de aprendizagem.</w:t>
      </w:r>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bookmarkStart w:id="3" w:name="4"/>
      <w:r>
        <w:rPr>
          <w:rFonts w:ascii="Arial" w:eastAsia="Times New Roman" w:hAnsi="Arial" w:cs="Arial"/>
          <w:sz w:val="20"/>
          <w:szCs w:val="20"/>
          <w:lang w:eastAsia="pt-BR"/>
        </w:rPr>
        <w:lastRenderedPageBreak/>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 3º - A instituição de educação deverá oferecer atividades complementares para assegurar as condições necessárias e suficientes para a aprendizagem dessas crianças, adolescentes e jovens.</w:t>
      </w:r>
      <w:bookmarkEnd w:id="3"/>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bookmarkStart w:id="4" w:name="5"/>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Art. 5º - Os cursos destinados à formação inicial e continuada de professores deverão proporcionar aos docentes o conhecimento de estratégias pedagógicas, materiais didáticos e de apoio pedagógico, bem como procedimentos de avaliação que considerem a realidade cultural, social e profissional do estudante itinerante como parte do cumprimento do direito à educação.</w:t>
      </w:r>
      <w:bookmarkEnd w:id="4"/>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bookmarkStart w:id="5" w:name="6"/>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Art. 6º - O poder público, no processo de expedição do alvará de funcionamento de empreendimentos de diversão itinerante, deverá exigir documentação comprobatória de matrícula das crianças, adolescentes e jovens cujos pais ou responsáveis trabalhem em tais empreendimentos.</w:t>
      </w:r>
      <w:bookmarkEnd w:id="5"/>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bookmarkStart w:id="6" w:name="7"/>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Art. 7º - Os Conselhos Tutelares existentes na região</w:t>
      </w:r>
      <w:proofErr w:type="gramStart"/>
      <w:r w:rsidRPr="00F552DC">
        <w:rPr>
          <w:rFonts w:ascii="Arial" w:eastAsia="Times New Roman" w:hAnsi="Arial" w:cs="Arial"/>
          <w:sz w:val="20"/>
          <w:szCs w:val="20"/>
          <w:lang w:eastAsia="pt-BR"/>
        </w:rPr>
        <w:t>, deverão</w:t>
      </w:r>
      <w:proofErr w:type="gramEnd"/>
      <w:r w:rsidRPr="00F552DC">
        <w:rPr>
          <w:rFonts w:ascii="Arial" w:eastAsia="Times New Roman" w:hAnsi="Arial" w:cs="Arial"/>
          <w:sz w:val="20"/>
          <w:szCs w:val="20"/>
          <w:lang w:eastAsia="pt-BR"/>
        </w:rPr>
        <w:t xml:space="preserve"> acompanhar a vida do estudante itinerante no que se refere ao respeito, proteção e promoção dos seus direitos sociais, sobretudo ao direito humano à educação.</w:t>
      </w:r>
      <w:bookmarkEnd w:id="6"/>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bookmarkStart w:id="7" w:name="8"/>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Art. 8º - Os Conselhos da Criança e do Adolescente deverão acompanhar o percurso escolar do estudante itinerante, buscando garantir- lhe políticas de atendimento.</w:t>
      </w:r>
      <w:bookmarkEnd w:id="7"/>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 xml:space="preserve">Art. 9º - O Ministério da Educação deverá criar programas, ações e orientações especiais destinados à escolarização de pessoas, sobretudo crianças, adolescentes e jovens que vivem em situação de </w:t>
      </w:r>
      <w:proofErr w:type="spellStart"/>
      <w:r w:rsidRPr="00F552DC">
        <w:rPr>
          <w:rFonts w:ascii="Arial" w:eastAsia="Times New Roman" w:hAnsi="Arial" w:cs="Arial"/>
          <w:sz w:val="20"/>
          <w:szCs w:val="20"/>
          <w:lang w:eastAsia="pt-BR"/>
        </w:rPr>
        <w:t>itinerância</w:t>
      </w:r>
      <w:proofErr w:type="spellEnd"/>
      <w:r w:rsidRPr="00F552DC">
        <w:rPr>
          <w:rFonts w:ascii="Arial" w:eastAsia="Times New Roman" w:hAnsi="Arial" w:cs="Arial"/>
          <w:sz w:val="20"/>
          <w:szCs w:val="20"/>
          <w:lang w:eastAsia="pt-BR"/>
        </w:rPr>
        <w:t>.</w:t>
      </w:r>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 xml:space="preserve">§ 1º - Os programas e ações socioeducativas destinados a estudantes itinerantes deverão ser elaborados e </w:t>
      </w:r>
      <w:proofErr w:type="gramStart"/>
      <w:r w:rsidRPr="00F552DC">
        <w:rPr>
          <w:rFonts w:ascii="Arial" w:eastAsia="Times New Roman" w:hAnsi="Arial" w:cs="Arial"/>
          <w:sz w:val="20"/>
          <w:szCs w:val="20"/>
          <w:lang w:eastAsia="pt-BR"/>
        </w:rPr>
        <w:t>implementados</w:t>
      </w:r>
      <w:proofErr w:type="gramEnd"/>
      <w:r w:rsidRPr="00F552DC">
        <w:rPr>
          <w:rFonts w:ascii="Arial" w:eastAsia="Times New Roman" w:hAnsi="Arial" w:cs="Arial"/>
          <w:sz w:val="20"/>
          <w:szCs w:val="20"/>
          <w:lang w:eastAsia="pt-BR"/>
        </w:rPr>
        <w:t xml:space="preserve"> com a participação dos atores sociais diretamente interessados (responsáveis pelos estudantes, os próprios estudantes, dentre outros), visando o respeito às particularidades socioculturais, políticas e econômicas dos referidos atores sociais.</w:t>
      </w:r>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bookmarkStart w:id="8" w:name="9"/>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 xml:space="preserve">§ 2º - O atendimento socioeducacional ofertado pelas escolas e programas educacionais deverá garantir o respeito às particularidades culturais, regionais, religiosas, étnicas e raciais dos estudantes em situação de </w:t>
      </w:r>
      <w:proofErr w:type="spellStart"/>
      <w:r w:rsidRPr="00F552DC">
        <w:rPr>
          <w:rFonts w:ascii="Arial" w:eastAsia="Times New Roman" w:hAnsi="Arial" w:cs="Arial"/>
          <w:sz w:val="20"/>
          <w:szCs w:val="20"/>
          <w:lang w:eastAsia="pt-BR"/>
        </w:rPr>
        <w:t>itinerância</w:t>
      </w:r>
      <w:proofErr w:type="spellEnd"/>
      <w:r w:rsidRPr="00F552DC">
        <w:rPr>
          <w:rFonts w:ascii="Arial" w:eastAsia="Times New Roman" w:hAnsi="Arial" w:cs="Arial"/>
          <w:sz w:val="20"/>
          <w:szCs w:val="20"/>
          <w:lang w:eastAsia="pt-BR"/>
        </w:rPr>
        <w:t>, bem como o tratamento pedagógico, ético e não discriminatório, na forma da lei.</w:t>
      </w:r>
      <w:bookmarkEnd w:id="8"/>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bookmarkStart w:id="9" w:name="10"/>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 xml:space="preserve">Art. 10 - Os sistemas de ensino deverão orientar as escolas quanto à sua obrigação de garantir não só a matrícula, mas, também, a permanência e, quando for o caso, a conclusão dos estudos aos estudantes em situação de </w:t>
      </w:r>
      <w:proofErr w:type="spellStart"/>
      <w:r w:rsidRPr="00F552DC">
        <w:rPr>
          <w:rFonts w:ascii="Arial" w:eastAsia="Times New Roman" w:hAnsi="Arial" w:cs="Arial"/>
          <w:sz w:val="20"/>
          <w:szCs w:val="20"/>
          <w:lang w:eastAsia="pt-BR"/>
        </w:rPr>
        <w:t>itinerância</w:t>
      </w:r>
      <w:proofErr w:type="spellEnd"/>
      <w:r w:rsidRPr="00F552DC">
        <w:rPr>
          <w:rFonts w:ascii="Arial" w:eastAsia="Times New Roman" w:hAnsi="Arial" w:cs="Arial"/>
          <w:sz w:val="20"/>
          <w:szCs w:val="20"/>
          <w:lang w:eastAsia="pt-BR"/>
        </w:rPr>
        <w:t>, bem como a elaboração e disponibilização do respectivo memorial.</w:t>
      </w:r>
      <w:bookmarkEnd w:id="9"/>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bookmarkStart w:id="10" w:name="11"/>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 xml:space="preserve">Art. 11 - Os sistemas de ensino, por meio de seus diferentes órgãos, deverão definir normas complementares para o ingresso, permanência e conclusão de estudos de crianças, adolescentes e jovens em situação de </w:t>
      </w:r>
      <w:proofErr w:type="spellStart"/>
      <w:r w:rsidRPr="00F552DC">
        <w:rPr>
          <w:rFonts w:ascii="Arial" w:eastAsia="Times New Roman" w:hAnsi="Arial" w:cs="Arial"/>
          <w:sz w:val="20"/>
          <w:szCs w:val="20"/>
          <w:lang w:eastAsia="pt-BR"/>
        </w:rPr>
        <w:t>itinerância</w:t>
      </w:r>
      <w:proofErr w:type="spellEnd"/>
      <w:r w:rsidRPr="00F552DC">
        <w:rPr>
          <w:rFonts w:ascii="Arial" w:eastAsia="Times New Roman" w:hAnsi="Arial" w:cs="Arial"/>
          <w:sz w:val="20"/>
          <w:szCs w:val="20"/>
          <w:lang w:eastAsia="pt-BR"/>
        </w:rPr>
        <w:t>, com base na presente resolução.</w:t>
      </w:r>
      <w:bookmarkEnd w:id="10"/>
    </w:p>
    <w:p w:rsidR="00F552DC" w:rsidRPr="00F552DC" w:rsidRDefault="00F552DC" w:rsidP="00F552DC">
      <w:pPr>
        <w:spacing w:before="100" w:beforeAutospacing="1" w:after="100" w:afterAutospacing="1"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Pr>
          <w:rFonts w:ascii="Arial" w:eastAsia="Times New Roman" w:hAnsi="Arial" w:cs="Arial"/>
          <w:sz w:val="20"/>
          <w:szCs w:val="20"/>
          <w:lang w:eastAsia="pt-BR"/>
        </w:rPr>
        <w:tab/>
      </w:r>
      <w:r w:rsidRPr="00F552DC">
        <w:rPr>
          <w:rFonts w:ascii="Arial" w:eastAsia="Times New Roman" w:hAnsi="Arial" w:cs="Arial"/>
          <w:sz w:val="20"/>
          <w:szCs w:val="20"/>
          <w:lang w:eastAsia="pt-BR"/>
        </w:rPr>
        <w:t>Art. 12 - Esta Resolução entrará em vigor na data de sua publicação.</w:t>
      </w:r>
    </w:p>
    <w:p w:rsidR="00F552DC" w:rsidRDefault="00F552DC" w:rsidP="00F552DC">
      <w:pPr>
        <w:spacing w:before="100" w:beforeAutospacing="1" w:after="100" w:afterAutospacing="1" w:line="240" w:lineRule="auto"/>
        <w:ind w:left="2124" w:firstLine="708"/>
        <w:jc w:val="both"/>
        <w:rPr>
          <w:rFonts w:ascii="Arial" w:eastAsia="Times New Roman" w:hAnsi="Arial" w:cs="Arial"/>
          <w:sz w:val="20"/>
          <w:szCs w:val="20"/>
          <w:lang w:eastAsia="pt-BR"/>
        </w:rPr>
      </w:pPr>
      <w:bookmarkStart w:id="11" w:name="12"/>
    </w:p>
    <w:p w:rsidR="00F552DC" w:rsidRPr="00F552DC" w:rsidRDefault="00F552DC" w:rsidP="00F552DC">
      <w:pPr>
        <w:spacing w:before="100" w:beforeAutospacing="1" w:after="100" w:afterAutospacing="1" w:line="240" w:lineRule="auto"/>
        <w:ind w:left="2832" w:firstLine="708"/>
        <w:jc w:val="both"/>
        <w:rPr>
          <w:rFonts w:ascii="Arial" w:eastAsia="Times New Roman" w:hAnsi="Arial" w:cs="Arial"/>
          <w:b/>
          <w:sz w:val="20"/>
          <w:szCs w:val="20"/>
          <w:lang w:eastAsia="pt-BR"/>
        </w:rPr>
      </w:pPr>
      <w:r w:rsidRPr="00F552DC">
        <w:rPr>
          <w:rFonts w:ascii="Arial" w:eastAsia="Times New Roman" w:hAnsi="Arial" w:cs="Arial"/>
          <w:b/>
          <w:sz w:val="20"/>
          <w:szCs w:val="20"/>
          <w:lang w:eastAsia="pt-BR"/>
        </w:rPr>
        <w:t>FRANCISCO APARECIDO CORDÃO</w:t>
      </w:r>
      <w:bookmarkEnd w:id="11"/>
    </w:p>
    <w:p w:rsidR="00FE1624" w:rsidRDefault="00FE1624"/>
    <w:sectPr w:rsidR="00FE1624" w:rsidSect="00FE16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52DC"/>
    <w:rsid w:val="00F552DC"/>
    <w:rsid w:val="00FE16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24"/>
  </w:style>
  <w:style w:type="paragraph" w:styleId="Ttulo1">
    <w:name w:val="heading 1"/>
    <w:basedOn w:val="Normal"/>
    <w:link w:val="Ttulo1Char"/>
    <w:uiPriority w:val="9"/>
    <w:qFormat/>
    <w:rsid w:val="00F552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552DC"/>
    <w:rPr>
      <w:rFonts w:ascii="Times New Roman" w:eastAsia="Times New Roman" w:hAnsi="Times New Roman" w:cs="Times New Roman"/>
      <w:b/>
      <w:bCs/>
      <w:kern w:val="36"/>
      <w:sz w:val="48"/>
      <w:szCs w:val="48"/>
      <w:lang w:eastAsia="pt-BR"/>
    </w:rPr>
  </w:style>
  <w:style w:type="paragraph" w:customStyle="1" w:styleId="orgao">
    <w:name w:val="orgao"/>
    <w:basedOn w:val="Normal"/>
    <w:rsid w:val="00F552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iario">
    <w:name w:val="diario"/>
    <w:basedOn w:val="Normal"/>
    <w:rsid w:val="00F552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F552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2">
    <w:name w:val="parag2"/>
    <w:basedOn w:val="Normal"/>
    <w:rsid w:val="00F552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552DC"/>
    <w:rPr>
      <w:color w:val="0000FF"/>
      <w:u w:val="single"/>
    </w:rPr>
  </w:style>
  <w:style w:type="paragraph" w:customStyle="1" w:styleId="assinatura">
    <w:name w:val="assinatura"/>
    <w:basedOn w:val="Normal"/>
    <w:rsid w:val="00F552D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844661480">
      <w:bodyDiv w:val="1"/>
      <w:marLeft w:val="0"/>
      <w:marRight w:val="0"/>
      <w:marTop w:val="0"/>
      <w:marBottom w:val="0"/>
      <w:divBdr>
        <w:top w:val="none" w:sz="0" w:space="0" w:color="auto"/>
        <w:left w:val="none" w:sz="0" w:space="0" w:color="auto"/>
        <w:bottom w:val="none" w:sz="0" w:space="0" w:color="auto"/>
        <w:right w:val="none" w:sz="0" w:space="0" w:color="auto"/>
      </w:divBdr>
      <w:divsChild>
        <w:div w:id="1628852940">
          <w:marLeft w:val="0"/>
          <w:marRight w:val="0"/>
          <w:marTop w:val="0"/>
          <w:marBottom w:val="0"/>
          <w:divBdr>
            <w:top w:val="none" w:sz="0" w:space="0" w:color="auto"/>
            <w:left w:val="none" w:sz="0" w:space="0" w:color="auto"/>
            <w:bottom w:val="none" w:sz="0" w:space="0" w:color="auto"/>
            <w:right w:val="none" w:sz="0" w:space="0" w:color="auto"/>
          </w:divBdr>
          <w:divsChild>
            <w:div w:id="14143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com.br/doc_38133_LEI_N_9394_DE_20_DE_DEZEMBRO_DE_1996.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x.com.br/doc_82188_CONSTITUICAO_DA_REPUBLICA_FEDERATIVA_DO_BRASIL_DE_1988.aspx" TargetMode="External"/><Relationship Id="rId12" Type="http://schemas.openxmlformats.org/officeDocument/2006/relationships/hyperlink" Target="http://www.lex.com.br/doc_213772_DECRETO_N_99710_DE_21_DE_NOVEMBRO_DE_199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x.com.br/doc_21521367_PARECER_N_14_DE_27_DE_JANEIRO_DE_2011.aspx" TargetMode="External"/><Relationship Id="rId11" Type="http://schemas.openxmlformats.org/officeDocument/2006/relationships/hyperlink" Target="http://www.lex.com.br/doc_53634_LEI_N_10406_DE_10_DE_JANEIRO_DE_2002.aspx" TargetMode="External"/><Relationship Id="rId5" Type="http://schemas.openxmlformats.org/officeDocument/2006/relationships/hyperlink" Target="http://www.lex.com.br/doc_34868_LEI_N_9131_DE_24_DE_NOVEMBRO_DE_1995.aspx" TargetMode="External"/><Relationship Id="rId10" Type="http://schemas.openxmlformats.org/officeDocument/2006/relationships/hyperlink" Target="http://www.lex.com.br/doc_56841_DECRETO_N_5051_DE_19_DE_ABRIL_DE_2004.aspx" TargetMode="External"/><Relationship Id="rId4" Type="http://schemas.openxmlformats.org/officeDocument/2006/relationships/hyperlink" Target="http://www.lex.com.br/doc_86980_LEI_N_4024_DE_20_DE_DEZEMBRO_DE_1961.aspx" TargetMode="External"/><Relationship Id="rId9" Type="http://schemas.openxmlformats.org/officeDocument/2006/relationships/hyperlink" Target="http://www.lex.com.br/doc_91241_LEI_N_8069_DE_13_DE_JULHO_DE_1990.aspx"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1077</Words>
  <Characters>5819</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edsonpedagogico</dc:creator>
  <cp:lastModifiedBy>edsonpedagogico</cp:lastModifiedBy>
  <cp:revision>1</cp:revision>
  <dcterms:created xsi:type="dcterms:W3CDTF">2012-05-18T17:36:00Z</dcterms:created>
  <dcterms:modified xsi:type="dcterms:W3CDTF">2012-05-18T17:42:00Z</dcterms:modified>
</cp:coreProperties>
</file>